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EEB90" w14:textId="3522826A" w:rsidR="00903D54" w:rsidRPr="00903D54" w:rsidRDefault="00903D54" w:rsidP="00577AB9">
      <w:pPr>
        <w:rPr>
          <w:b/>
        </w:rPr>
      </w:pPr>
      <w:r w:rsidRPr="00903D54">
        <w:rPr>
          <w:b/>
        </w:rPr>
        <w:t>Product</w:t>
      </w:r>
      <w:r>
        <w:rPr>
          <w:b/>
        </w:rPr>
        <w:t xml:space="preserve">:  </w:t>
      </w:r>
      <w:r w:rsidR="00E005A0">
        <w:rPr>
          <w:b/>
        </w:rPr>
        <w:t>JBL Synthesis SCL-1</w:t>
      </w:r>
    </w:p>
    <w:p w14:paraId="214FA84A" w14:textId="485D8794" w:rsidR="00F573FF" w:rsidRDefault="00F573FF" w:rsidP="00577AB9">
      <w:r w:rsidRPr="00F573FF">
        <w:rPr>
          <w:b/>
        </w:rPr>
        <w:t>Description Title:</w:t>
      </w:r>
      <w:r>
        <w:t xml:space="preserve"> </w:t>
      </w:r>
      <w:r w:rsidR="00E005A0">
        <w:t>SCL-1</w:t>
      </w:r>
    </w:p>
    <w:p w14:paraId="07F7E279" w14:textId="056E651B" w:rsidR="00F573FF" w:rsidRDefault="00F573FF" w:rsidP="00577AB9">
      <w:r w:rsidRPr="00F573FF">
        <w:rPr>
          <w:b/>
        </w:rPr>
        <w:t>Descriptor:</w:t>
      </w:r>
      <w:r>
        <w:t xml:space="preserve"> </w:t>
      </w:r>
      <w:r w:rsidR="00E005A0">
        <w:t xml:space="preserve">2-Way Dual 12-inch (300mm) Custom </w:t>
      </w:r>
      <w:r w:rsidR="001900EB">
        <w:t>LCR</w:t>
      </w:r>
      <w:r w:rsidR="00E005A0">
        <w:t xml:space="preserve"> Loudspeaker</w:t>
      </w:r>
    </w:p>
    <w:p w14:paraId="4BB7E94A" w14:textId="7C8E042D" w:rsidR="00F573FF" w:rsidRDefault="00F573FF" w:rsidP="00577AB9">
      <w:r w:rsidRPr="00F573FF">
        <w:rPr>
          <w:b/>
        </w:rPr>
        <w:t>Short Descriptor:</w:t>
      </w:r>
      <w:r>
        <w:t xml:space="preserve"> </w:t>
      </w:r>
      <w:r w:rsidR="00E005A0">
        <w:t xml:space="preserve">2-Way Dual 12-inch (300mm) Custom </w:t>
      </w:r>
      <w:r w:rsidR="001900EB">
        <w:t>LCR</w:t>
      </w:r>
      <w:r w:rsidR="00E005A0">
        <w:t xml:space="preserve"> Loudspeaker</w:t>
      </w:r>
    </w:p>
    <w:p w14:paraId="3068D965" w14:textId="206F1BAC" w:rsidR="00734161" w:rsidRPr="001900EB" w:rsidRDefault="00F573FF" w:rsidP="001900EB">
      <w:pPr>
        <w:spacing w:after="120"/>
      </w:pPr>
      <w:r w:rsidRPr="00F573FF">
        <w:rPr>
          <w:b/>
        </w:rPr>
        <w:t>Short Description:</w:t>
      </w:r>
      <w:r w:rsidR="001900EB">
        <w:t xml:space="preserve">  The Flagship of the </w:t>
      </w:r>
      <w:r w:rsidR="001900EB" w:rsidRPr="00E005A0">
        <w:t>JBL Synthesis Custom Loudspeakers range, the SCL-</w:t>
      </w:r>
      <w:r w:rsidR="001900EB">
        <w:t>1</w:t>
      </w:r>
      <w:r w:rsidR="001900EB" w:rsidRPr="00E005A0">
        <w:t xml:space="preserve"> </w:t>
      </w:r>
      <w:r w:rsidR="001900EB">
        <w:t xml:space="preserve">features </w:t>
      </w:r>
      <w:r w:rsidR="001900EB" w:rsidRPr="00102901">
        <w:rPr>
          <w:rFonts w:cs="Arial"/>
        </w:rPr>
        <w:t>JBL’s patented D2</w:t>
      </w:r>
      <w:r w:rsidR="001900EB">
        <w:rPr>
          <w:rFonts w:cs="Arial"/>
        </w:rPr>
        <w:t>430K</w:t>
      </w:r>
      <w:r w:rsidR="001900EB" w:rsidRPr="00102901">
        <w:rPr>
          <w:rFonts w:cs="Arial"/>
        </w:rPr>
        <w:t xml:space="preserve"> </w:t>
      </w:r>
      <w:r w:rsidR="00234161">
        <w:rPr>
          <w:rFonts w:cs="Arial"/>
        </w:rPr>
        <w:t xml:space="preserve">dual </w:t>
      </w:r>
      <w:r w:rsidR="001900EB">
        <w:rPr>
          <w:rFonts w:cs="Arial"/>
        </w:rPr>
        <w:t xml:space="preserve">3-inch (75mm) </w:t>
      </w:r>
      <w:r w:rsidR="001900EB" w:rsidRPr="00102901">
        <w:rPr>
          <w:rFonts w:cs="Arial"/>
        </w:rPr>
        <w:t xml:space="preserve">compression driver </w:t>
      </w:r>
      <w:r w:rsidR="001900EB">
        <w:rPr>
          <w:rFonts w:cs="Arial"/>
        </w:rPr>
        <w:t>mated to a large format High Definition Imaging (HDI™) horn</w:t>
      </w:r>
      <w:r w:rsidR="004C15C3">
        <w:rPr>
          <w:rFonts w:cs="Arial"/>
        </w:rPr>
        <w:t xml:space="preserve">.  </w:t>
      </w:r>
      <w:r w:rsidR="00E27C4B">
        <w:rPr>
          <w:rFonts w:cs="Arial"/>
        </w:rPr>
        <w:t>Integrated</w:t>
      </w:r>
      <w:r w:rsidR="001900EB">
        <w:rPr>
          <w:rFonts w:cs="Arial"/>
        </w:rPr>
        <w:t xml:space="preserve"> with dual 12-inch Carbon Cellulose Composite Cone (C4) </w:t>
      </w:r>
      <w:r w:rsidR="00234161">
        <w:rPr>
          <w:rFonts w:cs="Arial"/>
        </w:rPr>
        <w:t xml:space="preserve">cast-frame </w:t>
      </w:r>
      <w:r w:rsidR="001900EB">
        <w:rPr>
          <w:rFonts w:cs="Arial"/>
        </w:rPr>
        <w:t xml:space="preserve">woofers bolted into a patented Complementary Bass Alignment System (CBAS™) enclosure, </w:t>
      </w:r>
      <w:r w:rsidR="002C1884">
        <w:rPr>
          <w:rFonts w:cs="Arial"/>
        </w:rPr>
        <w:t>t</w:t>
      </w:r>
      <w:r w:rsidR="004C15C3">
        <w:rPr>
          <w:rFonts w:cs="Arial"/>
        </w:rPr>
        <w:t>he SCL-1</w:t>
      </w:r>
      <w:r w:rsidR="001900EB">
        <w:rPr>
          <w:rFonts w:cs="Arial"/>
        </w:rPr>
        <w:t xml:space="preserve"> </w:t>
      </w:r>
      <w:r w:rsidR="001900EB">
        <w:t>deliver</w:t>
      </w:r>
      <w:r w:rsidR="004C15C3">
        <w:t>s</w:t>
      </w:r>
      <w:r w:rsidR="001900EB">
        <w:t xml:space="preserve"> unparalleled performance </w:t>
      </w:r>
      <w:r w:rsidR="004C15C3">
        <w:t>in</w:t>
      </w:r>
      <w:r w:rsidR="001900EB">
        <w:t xml:space="preserve"> custom installations behind projection screens and inside custom cabinetry. </w:t>
      </w:r>
    </w:p>
    <w:p w14:paraId="2EFA3D81" w14:textId="1AC0F950" w:rsidR="00737246" w:rsidRPr="008B4847" w:rsidRDefault="00F573FF" w:rsidP="008B4847">
      <w:pPr>
        <w:spacing w:after="120"/>
        <w:rPr>
          <w:rFonts w:cs="Arial"/>
        </w:rPr>
      </w:pPr>
      <w:r w:rsidRPr="00F573FF">
        <w:rPr>
          <w:b/>
        </w:rPr>
        <w:t>Long Description:</w:t>
      </w:r>
      <w:r w:rsidR="001900EB">
        <w:t xml:space="preserve">  </w:t>
      </w:r>
      <w:r w:rsidR="001900EB" w:rsidRPr="001900EB">
        <w:rPr>
          <w:rFonts w:cs="Arial"/>
        </w:rPr>
        <w:t xml:space="preserve">The flagship of the JBL Synthesis Custom Loudspeaker (SCL) series, the SCL-1 is designed for unparalleled performance in large theater rooms as an LCR behind projection screens and in custom cabinetry. </w:t>
      </w:r>
      <w:r w:rsidR="00234161">
        <w:rPr>
          <w:rFonts w:cs="Arial"/>
        </w:rPr>
        <w:t>As a large-format LCR loudspeaker, the SCL-1 is a</w:t>
      </w:r>
      <w:r w:rsidR="001900EB" w:rsidRPr="001900EB">
        <w:rPr>
          <w:rFonts w:cs="Arial"/>
        </w:rPr>
        <w:t xml:space="preserve">coustically designed to complement the flagship SSW-1 dual 15” 5000 WRMS subwoofer and any of the JBL Synthesis Custom Loudspeakers (SCL series) as part of a complete JBL Synthesis solution. The SCL-1 features the patented JBL D2430K </w:t>
      </w:r>
      <w:r w:rsidR="00234161">
        <w:rPr>
          <w:rFonts w:cs="Arial"/>
        </w:rPr>
        <w:t xml:space="preserve">dual </w:t>
      </w:r>
      <w:r w:rsidR="001900EB" w:rsidRPr="001900EB">
        <w:rPr>
          <w:rFonts w:cs="Arial"/>
        </w:rPr>
        <w:t xml:space="preserve">3-inch </w:t>
      </w:r>
      <w:r w:rsidR="00534B17">
        <w:rPr>
          <w:rFonts w:cs="Arial"/>
        </w:rPr>
        <w:t xml:space="preserve">(75mm) </w:t>
      </w:r>
      <w:r w:rsidR="001900EB" w:rsidRPr="001900EB">
        <w:rPr>
          <w:rFonts w:cs="Arial"/>
        </w:rPr>
        <w:t>compression driver mated to a large, advanced geometry High Definition Imaging (HDI™) horn</w:t>
      </w:r>
      <w:r w:rsidR="008B4847">
        <w:rPr>
          <w:rFonts w:cs="Arial"/>
        </w:rPr>
        <w:t xml:space="preserve"> </w:t>
      </w:r>
      <w:r w:rsidR="001900EB" w:rsidRPr="001900EB">
        <w:rPr>
          <w:rFonts w:cs="Arial"/>
        </w:rPr>
        <w:t xml:space="preserve">for extraordinarily detailed response and ultra-low distortion even at incredibly high listening levels.  Two newly designed 12” cast-frame Carbon Cellulose Composite Cone (C4) woofers </w:t>
      </w:r>
      <w:r w:rsidR="00234161">
        <w:rPr>
          <w:rFonts w:cs="Arial"/>
        </w:rPr>
        <w:t>work in conjunction with a</w:t>
      </w:r>
      <w:r w:rsidR="001900EB" w:rsidRPr="001900EB">
        <w:rPr>
          <w:rFonts w:cs="Arial"/>
        </w:rPr>
        <w:t xml:space="preserve"> patented Complementary Bass Alignment System (CBAS</w:t>
      </w:r>
      <w:r w:rsidR="002C1884">
        <w:rPr>
          <w:rFonts w:cs="Arial"/>
        </w:rPr>
        <w:t>™</w:t>
      </w:r>
      <w:r w:rsidR="001900EB" w:rsidRPr="001900EB">
        <w:rPr>
          <w:rFonts w:cs="Arial"/>
        </w:rPr>
        <w:t>) enclosure</w:t>
      </w:r>
      <w:r w:rsidR="005162F7">
        <w:rPr>
          <w:rFonts w:cs="Arial"/>
        </w:rPr>
        <w:t xml:space="preserve"> constructed from 1-inch (25mm) MDF with extensive internal bracing</w:t>
      </w:r>
      <w:r w:rsidR="00234161">
        <w:rPr>
          <w:rFonts w:cs="Arial"/>
        </w:rPr>
        <w:t>. The CBAS design</w:t>
      </w:r>
      <w:r w:rsidR="001900EB" w:rsidRPr="001900EB">
        <w:rPr>
          <w:rFonts w:cs="Arial"/>
        </w:rPr>
        <w:t xml:space="preserve"> combine</w:t>
      </w:r>
      <w:r w:rsidR="00234161">
        <w:rPr>
          <w:rFonts w:cs="Arial"/>
        </w:rPr>
        <w:t>s</w:t>
      </w:r>
      <w:r w:rsidR="001900EB" w:rsidRPr="001900EB">
        <w:rPr>
          <w:rFonts w:cs="Arial"/>
        </w:rPr>
        <w:t xml:space="preserve"> the acoustic benefits of sealed enclosures (more output below tuning frequency) and vented enclosures (more output at the tuning frequency) with less impedance swings to play louder and work </w:t>
      </w:r>
      <w:r w:rsidR="00234161">
        <w:rPr>
          <w:rFonts w:cs="Arial"/>
        </w:rPr>
        <w:t>more efficiently</w:t>
      </w:r>
      <w:r w:rsidR="001900EB" w:rsidRPr="001900EB">
        <w:rPr>
          <w:rFonts w:cs="Arial"/>
        </w:rPr>
        <w:t xml:space="preserve"> with amplifiers.  These driver elements combine with an innovative installer-configurable multi-capacitor crossover network that can be driven by a single amp, dual amps</w:t>
      </w:r>
      <w:r w:rsidR="00234161">
        <w:rPr>
          <w:rFonts w:cs="Arial"/>
        </w:rPr>
        <w:t xml:space="preserve">, </w:t>
      </w:r>
      <w:r w:rsidR="001900EB" w:rsidRPr="001900EB">
        <w:rPr>
          <w:rFonts w:cs="Arial"/>
        </w:rPr>
        <w:t xml:space="preserve">or bypassed for </w:t>
      </w:r>
      <w:r w:rsidR="00234161">
        <w:rPr>
          <w:rFonts w:cs="Arial"/>
        </w:rPr>
        <w:t xml:space="preserve">use with </w:t>
      </w:r>
      <w:r w:rsidR="001900EB" w:rsidRPr="001900EB">
        <w:rPr>
          <w:rFonts w:cs="Arial"/>
        </w:rPr>
        <w:t xml:space="preserve">active </w:t>
      </w:r>
      <w:r w:rsidR="00234161">
        <w:rPr>
          <w:rFonts w:cs="Arial"/>
        </w:rPr>
        <w:t>external crossovers</w:t>
      </w:r>
      <w:r w:rsidR="001900EB" w:rsidRPr="001900EB">
        <w:rPr>
          <w:rFonts w:cs="Arial"/>
        </w:rPr>
        <w:t xml:space="preserve">.     </w:t>
      </w:r>
      <w:r w:rsidR="00737246">
        <w:t xml:space="preserve"> </w:t>
      </w:r>
    </w:p>
    <w:p w14:paraId="49D7271D" w14:textId="77777777" w:rsidR="007146AE" w:rsidRPr="00DC39BE" w:rsidRDefault="007146AE">
      <w:pPr>
        <w:rPr>
          <w:b/>
        </w:rPr>
      </w:pPr>
      <w:r w:rsidRPr="00DC39BE">
        <w:rPr>
          <w:b/>
        </w:rPr>
        <w:t>Highlights:</w:t>
      </w:r>
    </w:p>
    <w:p w14:paraId="0D39B3E9" w14:textId="45A75CC8" w:rsidR="001873C8" w:rsidRPr="001873C8" w:rsidRDefault="008B4847" w:rsidP="001873C8">
      <w:pPr>
        <w:pStyle w:val="ListParagraph"/>
        <w:numPr>
          <w:ilvl w:val="0"/>
          <w:numId w:val="10"/>
        </w:numPr>
        <w:spacing w:after="160" w:line="259" w:lineRule="auto"/>
      </w:pPr>
      <w:r>
        <w:t xml:space="preserve">2-Way dual 12-inch (300mm) Flagship LCR </w:t>
      </w:r>
      <w:r w:rsidR="00E44D70">
        <w:t xml:space="preserve">loudspeaker </w:t>
      </w:r>
      <w:r>
        <w:t>d</w:t>
      </w:r>
      <w:r w:rsidR="001873C8" w:rsidRPr="001873C8">
        <w:t xml:space="preserve">elivers unparalleled performance </w:t>
      </w:r>
      <w:r>
        <w:t>in large theater rooms</w:t>
      </w:r>
    </w:p>
    <w:p w14:paraId="79B7B048" w14:textId="77777777" w:rsidR="001873C8" w:rsidRPr="001873C8" w:rsidRDefault="001873C8" w:rsidP="001873C8">
      <w:pPr>
        <w:pStyle w:val="ListParagraph"/>
        <w:numPr>
          <w:ilvl w:val="0"/>
          <w:numId w:val="10"/>
        </w:numPr>
        <w:spacing w:after="160" w:line="259" w:lineRule="auto"/>
      </w:pPr>
      <w:r w:rsidRPr="001873C8">
        <w:t>Optimized for custom installation behind projection screens and in custom cabinetry</w:t>
      </w:r>
    </w:p>
    <w:p w14:paraId="3974C99C" w14:textId="77777777" w:rsidR="008337F3" w:rsidRPr="008337F3" w:rsidRDefault="008337F3" w:rsidP="008B4847">
      <w:pPr>
        <w:pStyle w:val="ListParagraph"/>
        <w:numPr>
          <w:ilvl w:val="0"/>
          <w:numId w:val="10"/>
        </w:numPr>
        <w:spacing w:after="160" w:line="259" w:lineRule="auto"/>
      </w:pPr>
      <w:r w:rsidRPr="008337F3">
        <w:t>Timbre matched to all SCL loudspeakers and specially designed to be used with the SSW-1 subwoofer</w:t>
      </w:r>
    </w:p>
    <w:p w14:paraId="0267031A" w14:textId="7AAA9B78" w:rsidR="008337F3" w:rsidRPr="008337F3" w:rsidRDefault="008337F3" w:rsidP="008337F3">
      <w:pPr>
        <w:pStyle w:val="ListParagraph"/>
        <w:numPr>
          <w:ilvl w:val="0"/>
          <w:numId w:val="10"/>
        </w:numPr>
        <w:spacing w:after="160" w:line="259" w:lineRule="auto"/>
      </w:pPr>
      <w:r>
        <w:t xml:space="preserve">Patented D2430K </w:t>
      </w:r>
      <w:r w:rsidRPr="008337F3">
        <w:t xml:space="preserve">3-inch </w:t>
      </w:r>
      <w:r>
        <w:t>(</w:t>
      </w:r>
      <w:r w:rsidRPr="008337F3">
        <w:t>75mm</w:t>
      </w:r>
      <w:r>
        <w:t>)</w:t>
      </w:r>
      <w:r w:rsidRPr="008337F3">
        <w:t xml:space="preserve"> </w:t>
      </w:r>
      <w:r w:rsidR="00534B17">
        <w:t xml:space="preserve">dual </w:t>
      </w:r>
      <w:proofErr w:type="spellStart"/>
      <w:r w:rsidR="00534B17">
        <w:t>Teonex</w:t>
      </w:r>
      <w:proofErr w:type="spellEnd"/>
      <w:r w:rsidR="00534B17">
        <w:t xml:space="preserve">® annular ring diaphragm, dual voice coil compression driver with dual neodymium motor structures mated to </w:t>
      </w:r>
      <w:r w:rsidRPr="008337F3">
        <w:t xml:space="preserve">large coverage, High-Definition Imaging (HDI™) </w:t>
      </w:r>
      <w:r>
        <w:t>horn</w:t>
      </w:r>
      <w:r w:rsidR="008B4847">
        <w:t xml:space="preserve"> precision molded </w:t>
      </w:r>
      <w:r w:rsidR="00534B17">
        <w:t>out of</w:t>
      </w:r>
      <w:r w:rsidR="008B4847">
        <w:t xml:space="preserve"> </w:t>
      </w:r>
      <w:proofErr w:type="spellStart"/>
      <w:r w:rsidR="008B4847">
        <w:t>Sonoglass</w:t>
      </w:r>
      <w:proofErr w:type="spellEnd"/>
      <w:r w:rsidR="008B4847">
        <w:t>®</w:t>
      </w:r>
    </w:p>
    <w:p w14:paraId="44EEACC6" w14:textId="21F2B7E8" w:rsidR="008337F3" w:rsidRPr="008337F3" w:rsidRDefault="008337F3" w:rsidP="008337F3">
      <w:pPr>
        <w:pStyle w:val="ListParagraph"/>
        <w:numPr>
          <w:ilvl w:val="0"/>
          <w:numId w:val="10"/>
        </w:numPr>
        <w:spacing w:after="160" w:line="259" w:lineRule="auto"/>
      </w:pPr>
      <w:r w:rsidRPr="008337F3">
        <w:t xml:space="preserve">Dual 12” </w:t>
      </w:r>
      <w:r w:rsidR="00DF0BB9">
        <w:t xml:space="preserve">(300mm) </w:t>
      </w:r>
      <w:r w:rsidRPr="008337F3">
        <w:t xml:space="preserve">cast-frame </w:t>
      </w:r>
      <w:r>
        <w:t xml:space="preserve">Carbon Cellulose Composite Cone (C4) </w:t>
      </w:r>
      <w:r w:rsidRPr="008337F3">
        <w:t xml:space="preserve">woofers in patented </w:t>
      </w:r>
      <w:r>
        <w:t>C</w:t>
      </w:r>
      <w:r w:rsidRPr="008337F3">
        <w:t xml:space="preserve">omplementary </w:t>
      </w:r>
      <w:r w:rsidR="008B4847">
        <w:t>B</w:t>
      </w:r>
      <w:r w:rsidRPr="008337F3">
        <w:t xml:space="preserve">ass </w:t>
      </w:r>
      <w:r w:rsidR="008B4847">
        <w:t>A</w:t>
      </w:r>
      <w:r w:rsidRPr="008337F3">
        <w:t xml:space="preserve">lignment </w:t>
      </w:r>
      <w:r w:rsidR="008B4847">
        <w:t>S</w:t>
      </w:r>
      <w:r w:rsidRPr="008337F3">
        <w:t>ystem (</w:t>
      </w:r>
      <w:r>
        <w:t>CBAS</w:t>
      </w:r>
      <w:r w:rsidR="008B4847">
        <w:t>™</w:t>
      </w:r>
      <w:r w:rsidRPr="008337F3">
        <w:t xml:space="preserve">) </w:t>
      </w:r>
      <w:r w:rsidR="008B4847">
        <w:t>enclosure design</w:t>
      </w:r>
    </w:p>
    <w:p w14:paraId="72A4A0C3" w14:textId="52357C74" w:rsidR="008337F3" w:rsidRPr="008337F3" w:rsidRDefault="008337F3" w:rsidP="008337F3">
      <w:pPr>
        <w:pStyle w:val="ListParagraph"/>
        <w:numPr>
          <w:ilvl w:val="0"/>
          <w:numId w:val="10"/>
        </w:numPr>
        <w:spacing w:after="160" w:line="259" w:lineRule="auto"/>
      </w:pPr>
      <w:r w:rsidRPr="008337F3">
        <w:t xml:space="preserve">Bi-amplifier, bi-wire </w:t>
      </w:r>
      <w:r w:rsidR="00534B17">
        <w:t xml:space="preserve">and network bypass </w:t>
      </w:r>
      <w:r w:rsidRPr="008337F3">
        <w:t>capability with installer configurable crossover</w:t>
      </w:r>
    </w:p>
    <w:p w14:paraId="005D2422" w14:textId="71432074" w:rsidR="00534B17" w:rsidRDefault="008B4847" w:rsidP="00534B17">
      <w:pPr>
        <w:pStyle w:val="ListParagraph"/>
        <w:numPr>
          <w:ilvl w:val="0"/>
          <w:numId w:val="10"/>
        </w:numPr>
        <w:spacing w:after="160" w:line="259" w:lineRule="auto"/>
      </w:pPr>
      <w:r>
        <w:lastRenderedPageBreak/>
        <w:t xml:space="preserve">Heavily braced </w:t>
      </w:r>
      <w:r w:rsidR="00534B17">
        <w:t xml:space="preserve">black </w:t>
      </w:r>
      <w:r>
        <w:t xml:space="preserve">vinyl clad cabinet built from 1-inch thick MDF </w:t>
      </w:r>
      <w:r w:rsidR="00534B17">
        <w:t xml:space="preserve">with </w:t>
      </w:r>
      <w:r w:rsidR="004C15C3">
        <w:t>cloth-wrapped, edge to edge metal frame grille with magnetic attachment</w:t>
      </w:r>
    </w:p>
    <w:p w14:paraId="2457B0D1" w14:textId="77777777" w:rsidR="00B55FB7" w:rsidRPr="00DC39BE" w:rsidRDefault="00B55FB7" w:rsidP="00705E2C">
      <w:pPr>
        <w:pStyle w:val="NoSpacing"/>
        <w:rPr>
          <w:rFonts w:cs="HelveticaNeueLT Pro 75 Bd"/>
          <w:color w:val="000000"/>
        </w:rPr>
      </w:pPr>
    </w:p>
    <w:p w14:paraId="53270B34" w14:textId="77777777" w:rsidR="00906CEC" w:rsidRPr="00DC39BE" w:rsidRDefault="00906CEC" w:rsidP="00B55FB7">
      <w:pPr>
        <w:autoSpaceDE w:val="0"/>
        <w:autoSpaceDN w:val="0"/>
        <w:adjustRightInd w:val="0"/>
        <w:spacing w:after="0" w:line="240" w:lineRule="auto"/>
        <w:rPr>
          <w:rFonts w:cs="HelveticaNeueLT Pro 75 Bd"/>
          <w:color w:val="000000"/>
        </w:rPr>
      </w:pPr>
    </w:p>
    <w:p w14:paraId="1BE5BC75" w14:textId="77777777" w:rsidR="00B55FB7" w:rsidRPr="00DC39BE" w:rsidRDefault="006C7768" w:rsidP="00B55FB7">
      <w:pPr>
        <w:autoSpaceDE w:val="0"/>
        <w:autoSpaceDN w:val="0"/>
        <w:adjustRightInd w:val="0"/>
        <w:spacing w:before="160" w:after="40" w:line="221" w:lineRule="atLeast"/>
      </w:pPr>
      <w:r>
        <w:rPr>
          <w:b/>
          <w:bCs/>
        </w:rPr>
        <w:t xml:space="preserve">General </w:t>
      </w:r>
      <w:r w:rsidR="00B55FB7" w:rsidRPr="00DC39BE">
        <w:rPr>
          <w:b/>
          <w:bCs/>
        </w:rPr>
        <w:t>Specifications:</w:t>
      </w:r>
    </w:p>
    <w:tbl>
      <w:tblPr>
        <w:tblStyle w:val="TableGridLight"/>
        <w:tblW w:w="10395" w:type="dxa"/>
        <w:tblLayout w:type="fixed"/>
        <w:tblLook w:val="0080" w:firstRow="0" w:lastRow="0" w:firstColumn="1" w:lastColumn="0" w:noHBand="0" w:noVBand="0"/>
      </w:tblPr>
      <w:tblGrid>
        <w:gridCol w:w="3415"/>
        <w:gridCol w:w="6980"/>
      </w:tblGrid>
      <w:tr w:rsidR="00B40567" w:rsidRPr="00DC39BE" w14:paraId="4113E92A" w14:textId="77777777" w:rsidTr="00AB3FF8">
        <w:trPr>
          <w:trHeight w:val="91"/>
        </w:trPr>
        <w:tc>
          <w:tcPr>
            <w:tcW w:w="3415" w:type="dxa"/>
          </w:tcPr>
          <w:p w14:paraId="577BA3ED" w14:textId="77777777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Type</w:t>
            </w:r>
            <w:r w:rsidR="000D785B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3D4CA99E" w14:textId="084DAD9C" w:rsidR="00B40567" w:rsidRPr="000D785B" w:rsidRDefault="004C15C3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40567" w:rsidRPr="000D785B">
              <w:rPr>
                <w:rFonts w:ascii="Calibri" w:hAnsi="Calibri" w:cs="Calibri"/>
                <w:color w:val="000000"/>
              </w:rPr>
              <w:t>-</w:t>
            </w:r>
            <w:r w:rsidR="00DF0BB9">
              <w:rPr>
                <w:rFonts w:ascii="Calibri" w:hAnsi="Calibri" w:cs="Calibri"/>
                <w:color w:val="000000"/>
              </w:rPr>
              <w:t>W</w:t>
            </w:r>
            <w:r w:rsidR="00B40567" w:rsidRPr="000D785B">
              <w:rPr>
                <w:rFonts w:ascii="Calibri" w:hAnsi="Calibri" w:cs="Calibri"/>
                <w:color w:val="000000"/>
              </w:rPr>
              <w:t xml:space="preserve">ay </w:t>
            </w:r>
            <w:r w:rsidR="001141C0">
              <w:rPr>
                <w:rFonts w:ascii="Calibri" w:hAnsi="Calibri" w:cs="Calibri"/>
                <w:color w:val="000000"/>
              </w:rPr>
              <w:t>In-room</w:t>
            </w:r>
            <w:r w:rsidR="00B40567" w:rsidRPr="000D785B">
              <w:rPr>
                <w:rFonts w:ascii="Calibri" w:hAnsi="Calibri" w:cs="Calibri"/>
                <w:color w:val="000000"/>
              </w:rPr>
              <w:t xml:space="preserve"> loudspeaker</w:t>
            </w:r>
          </w:p>
        </w:tc>
      </w:tr>
      <w:tr w:rsidR="00B40567" w:rsidRPr="00DC39BE" w14:paraId="372EA87B" w14:textId="77777777" w:rsidTr="00AB3FF8">
        <w:trPr>
          <w:trHeight w:val="189"/>
        </w:trPr>
        <w:tc>
          <w:tcPr>
            <w:tcW w:w="3415" w:type="dxa"/>
          </w:tcPr>
          <w:p w14:paraId="33E4D723" w14:textId="2709E8A7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Low Frequency Driver</w:t>
            </w:r>
            <w:r w:rsidR="001141C0">
              <w:rPr>
                <w:rFonts w:ascii="Calibri" w:hAnsi="Calibri" w:cs="Calibri"/>
                <w:color w:val="000000"/>
              </w:rPr>
              <w:t>s</w:t>
            </w:r>
            <w:r w:rsidR="000C5062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6D1E1C40" w14:textId="6A05266A" w:rsidR="00B40567" w:rsidRPr="000D785B" w:rsidRDefault="004C15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Dual 12</w:t>
            </w:r>
            <w:r w:rsidR="00B40567" w:rsidRPr="000D785B">
              <w:rPr>
                <w:rFonts w:ascii="Calibri" w:hAnsi="Calibri" w:cs="Calibri"/>
                <w:color w:val="000000"/>
              </w:rPr>
              <w:t>-inch (3</w:t>
            </w:r>
            <w:r>
              <w:rPr>
                <w:rFonts w:ascii="Calibri" w:hAnsi="Calibri" w:cs="Calibri"/>
                <w:color w:val="000000"/>
              </w:rPr>
              <w:t>00</w:t>
            </w:r>
            <w:r w:rsidR="00B40567" w:rsidRPr="000D785B">
              <w:rPr>
                <w:rFonts w:ascii="Calibri" w:hAnsi="Calibri" w:cs="Calibri"/>
                <w:color w:val="000000"/>
              </w:rPr>
              <w:t xml:space="preserve">mm) </w:t>
            </w:r>
            <w:r w:rsidR="001141C0">
              <w:rPr>
                <w:rFonts w:ascii="Calibri" w:hAnsi="Calibri" w:cs="Calibri"/>
                <w:color w:val="000000"/>
              </w:rPr>
              <w:t>Black Carbon Cellulose Composite Cone (</w:t>
            </w:r>
            <w:r w:rsidR="00DF0BB9">
              <w:rPr>
                <w:rFonts w:ascii="Calibri" w:hAnsi="Calibri" w:cs="Calibri"/>
                <w:color w:val="000000"/>
              </w:rPr>
              <w:t>C4</w:t>
            </w:r>
            <w:r w:rsidR="001141C0">
              <w:rPr>
                <w:rFonts w:ascii="Calibri" w:hAnsi="Calibri" w:cs="Calibri"/>
                <w:color w:val="000000"/>
              </w:rPr>
              <w:t>)</w:t>
            </w:r>
            <w:r w:rsidR="00DF0BB9">
              <w:rPr>
                <w:rFonts w:ascii="Calibri" w:hAnsi="Calibri" w:cs="Calibri"/>
                <w:color w:val="000000"/>
              </w:rPr>
              <w:t xml:space="preserve"> </w:t>
            </w:r>
            <w:r w:rsidR="00390E9B">
              <w:rPr>
                <w:rFonts w:ascii="Calibri" w:hAnsi="Calibri" w:cs="Calibri"/>
                <w:color w:val="000000"/>
              </w:rPr>
              <w:t xml:space="preserve">cast-frame </w:t>
            </w:r>
            <w:r w:rsidR="00B40567" w:rsidRPr="000D785B">
              <w:rPr>
                <w:rFonts w:ascii="Calibri" w:hAnsi="Calibri" w:cs="Calibri"/>
                <w:color w:val="000000"/>
              </w:rPr>
              <w:t>woofer</w:t>
            </w:r>
            <w:r w:rsidR="00DF0BB9"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B40567" w:rsidRPr="00DC39BE" w14:paraId="3CAE69E0" w14:textId="77777777" w:rsidTr="00AB3FF8">
        <w:trPr>
          <w:trHeight w:val="91"/>
        </w:trPr>
        <w:tc>
          <w:tcPr>
            <w:tcW w:w="3415" w:type="dxa"/>
          </w:tcPr>
          <w:p w14:paraId="37C2FFC4" w14:textId="11B69C95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High Frequency Driver</w:t>
            </w:r>
            <w:r w:rsidR="000C5062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4EDAD872" w14:textId="377A1B60" w:rsidR="00B40567" w:rsidRPr="000D785B" w:rsidRDefault="003224DE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Pr="003224DE">
              <w:rPr>
                <w:rFonts w:ascii="Calibri" w:hAnsi="Calibri" w:cs="Calibri"/>
                <w:color w:val="000000"/>
              </w:rPr>
              <w:t>" (</w:t>
            </w:r>
            <w:r>
              <w:rPr>
                <w:rFonts w:ascii="Calibri" w:hAnsi="Calibri" w:cs="Calibri"/>
                <w:color w:val="000000"/>
              </w:rPr>
              <w:t>75</w:t>
            </w:r>
            <w:r w:rsidRPr="003224DE">
              <w:rPr>
                <w:rFonts w:ascii="Calibri" w:hAnsi="Calibri" w:cs="Calibri"/>
                <w:color w:val="000000"/>
              </w:rPr>
              <w:t xml:space="preserve">mm) dual </w:t>
            </w:r>
            <w:r w:rsidR="001141C0">
              <w:rPr>
                <w:rFonts w:ascii="Calibri" w:hAnsi="Calibri" w:cs="Calibri"/>
                <w:color w:val="000000"/>
              </w:rPr>
              <w:t xml:space="preserve">annular </w:t>
            </w:r>
            <w:proofErr w:type="spellStart"/>
            <w:r w:rsidR="001141C0">
              <w:rPr>
                <w:rFonts w:ascii="Calibri" w:hAnsi="Calibri" w:cs="Calibri"/>
                <w:color w:val="000000"/>
              </w:rPr>
              <w:t>Teonex</w:t>
            </w:r>
            <w:proofErr w:type="spellEnd"/>
            <w:r w:rsidR="001141C0">
              <w:rPr>
                <w:rFonts w:ascii="Calibri" w:hAnsi="Calibri" w:cs="Calibri"/>
                <w:color w:val="000000"/>
              </w:rPr>
              <w:t>® ring-</w:t>
            </w:r>
            <w:r w:rsidRPr="003224DE">
              <w:rPr>
                <w:rFonts w:ascii="Calibri" w:hAnsi="Calibri" w:cs="Calibri"/>
                <w:color w:val="000000"/>
              </w:rPr>
              <w:t xml:space="preserve">diaphragm compression </w:t>
            </w:r>
            <w:r w:rsidR="001141C0">
              <w:rPr>
                <w:rFonts w:ascii="Calibri" w:hAnsi="Calibri" w:cs="Calibri"/>
                <w:color w:val="000000"/>
              </w:rPr>
              <w:t xml:space="preserve">driver with dual neodymium motor structures </w:t>
            </w:r>
            <w:r w:rsidRPr="003224DE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>ated</w:t>
            </w:r>
            <w:r w:rsidRPr="003224DE">
              <w:rPr>
                <w:rFonts w:ascii="Calibri" w:hAnsi="Calibri" w:cs="Calibri"/>
                <w:color w:val="000000"/>
              </w:rPr>
              <w:t xml:space="preserve"> to </w:t>
            </w:r>
            <w:proofErr w:type="spellStart"/>
            <w:r w:rsidRPr="003224DE">
              <w:rPr>
                <w:rFonts w:ascii="Calibri" w:hAnsi="Calibri" w:cs="Calibri"/>
                <w:color w:val="000000"/>
              </w:rPr>
              <w:t>Sonoglass</w:t>
            </w:r>
            <w:proofErr w:type="spellEnd"/>
            <w:r w:rsidRPr="003224DE">
              <w:rPr>
                <w:rFonts w:ascii="Calibri" w:hAnsi="Calibri" w:cs="Calibri"/>
                <w:color w:val="000000"/>
              </w:rPr>
              <w:t xml:space="preserve">® </w:t>
            </w:r>
            <w:r w:rsidR="00C0575B">
              <w:rPr>
                <w:rFonts w:ascii="Calibri" w:hAnsi="Calibri" w:cs="Calibri"/>
                <w:color w:val="000000"/>
              </w:rPr>
              <w:t xml:space="preserve">HDI™ </w:t>
            </w:r>
            <w:r w:rsidRPr="003224DE">
              <w:rPr>
                <w:rFonts w:ascii="Calibri" w:hAnsi="Calibri" w:cs="Calibri"/>
                <w:color w:val="000000"/>
              </w:rPr>
              <w:t>horn</w:t>
            </w:r>
          </w:p>
        </w:tc>
      </w:tr>
      <w:tr w:rsidR="00B40567" w:rsidRPr="00DC39BE" w14:paraId="6041FEF7" w14:textId="77777777" w:rsidTr="00AB3FF8">
        <w:trPr>
          <w:trHeight w:val="189"/>
        </w:trPr>
        <w:tc>
          <w:tcPr>
            <w:tcW w:w="3415" w:type="dxa"/>
          </w:tcPr>
          <w:p w14:paraId="0A2095C3" w14:textId="12790349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Recommended Amplifier Power</w:t>
            </w:r>
            <w:r w:rsidR="001141C0">
              <w:rPr>
                <w:rFonts w:ascii="Calibri" w:hAnsi="Calibri" w:cs="Calibri"/>
                <w:color w:val="000000"/>
              </w:rPr>
              <w:t xml:space="preserve"> (Full bandwidth)</w:t>
            </w:r>
            <w:r w:rsidR="000D785B">
              <w:rPr>
                <w:rFonts w:ascii="Calibri" w:hAnsi="Calibri" w:cs="Calibri"/>
                <w:color w:val="000000"/>
              </w:rPr>
              <w:t>:</w:t>
            </w:r>
            <w:r w:rsidRPr="000D785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6980" w:type="dxa"/>
          </w:tcPr>
          <w:p w14:paraId="1F1E1616" w14:textId="7525ABA9" w:rsidR="00B40567" w:rsidRPr="000D785B" w:rsidRDefault="001141C0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  <w:r w:rsidR="00B40567" w:rsidRPr="000D785B">
              <w:rPr>
                <w:rFonts w:ascii="Calibri" w:hAnsi="Calibri" w:cs="Calibri"/>
                <w:color w:val="000000"/>
              </w:rPr>
              <w:t xml:space="preserve"> WRMS</w:t>
            </w:r>
            <w:r w:rsidR="00082141">
              <w:rPr>
                <w:rFonts w:ascii="Calibri" w:hAnsi="Calibri" w:cs="Calibri"/>
                <w:color w:val="000000"/>
              </w:rPr>
              <w:t>, minimum</w:t>
            </w:r>
          </w:p>
        </w:tc>
      </w:tr>
      <w:tr w:rsidR="001141C0" w:rsidRPr="00DC39BE" w14:paraId="5A5D57FF" w14:textId="77777777" w:rsidTr="007F6C95">
        <w:trPr>
          <w:trHeight w:val="189"/>
        </w:trPr>
        <w:tc>
          <w:tcPr>
            <w:tcW w:w="3415" w:type="dxa"/>
          </w:tcPr>
          <w:p w14:paraId="6ABEC6EE" w14:textId="77777777" w:rsidR="001141C0" w:rsidRDefault="001141C0" w:rsidP="007F6C95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Recommended Amplifier Power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6FF15CA8" w14:textId="03A1A189" w:rsidR="001141C0" w:rsidRPr="000D785B" w:rsidRDefault="001141C0" w:rsidP="007F6C95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(80 Hz HPF):</w:t>
            </w:r>
            <w:r w:rsidRPr="000D785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6980" w:type="dxa"/>
          </w:tcPr>
          <w:p w14:paraId="197C8DEC" w14:textId="1923321E" w:rsidR="001141C0" w:rsidRPr="000D785B" w:rsidRDefault="001141C0" w:rsidP="007F6C95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  <w:r w:rsidRPr="000D785B">
              <w:rPr>
                <w:rFonts w:ascii="Calibri" w:hAnsi="Calibri" w:cs="Calibri"/>
                <w:color w:val="000000"/>
              </w:rPr>
              <w:t xml:space="preserve"> WRMS</w:t>
            </w:r>
            <w:r w:rsidR="00082141">
              <w:rPr>
                <w:rFonts w:ascii="Calibri" w:hAnsi="Calibri" w:cs="Calibri"/>
                <w:color w:val="000000"/>
              </w:rPr>
              <w:t>, minimum</w:t>
            </w:r>
          </w:p>
        </w:tc>
      </w:tr>
      <w:tr w:rsidR="00B40567" w:rsidRPr="00DC39BE" w14:paraId="115B3301" w14:textId="77777777" w:rsidTr="00AB3FF8">
        <w:trPr>
          <w:trHeight w:val="91"/>
        </w:trPr>
        <w:tc>
          <w:tcPr>
            <w:tcW w:w="3415" w:type="dxa"/>
          </w:tcPr>
          <w:p w14:paraId="5EDF33AD" w14:textId="77777777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Impedance</w:t>
            </w:r>
            <w:r w:rsidR="000D785B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33CE6DE8" w14:textId="77777777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</w:rPr>
            </w:pPr>
            <w:r w:rsidRPr="000D785B">
              <w:rPr>
                <w:rFonts w:ascii="Calibri" w:hAnsi="Calibri" w:cs="Calibri"/>
              </w:rPr>
              <w:t>4 Ohm</w:t>
            </w:r>
          </w:p>
        </w:tc>
      </w:tr>
      <w:tr w:rsidR="00B40567" w:rsidRPr="00DC39BE" w14:paraId="1D2D4C35" w14:textId="77777777" w:rsidTr="00AB3FF8">
        <w:trPr>
          <w:trHeight w:val="91"/>
        </w:trPr>
        <w:tc>
          <w:tcPr>
            <w:tcW w:w="3415" w:type="dxa"/>
          </w:tcPr>
          <w:p w14:paraId="72C0590B" w14:textId="77777777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Loudspeaker Sensitivity</w:t>
            </w:r>
            <w:r w:rsidR="000D785B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5824F73A" w14:textId="57F44676" w:rsidR="00B40567" w:rsidRPr="000D785B" w:rsidRDefault="001141C0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B40567" w:rsidRPr="000D785B">
              <w:rPr>
                <w:rFonts w:ascii="Calibri" w:hAnsi="Calibri" w:cs="Calibri"/>
                <w:color w:val="000000"/>
              </w:rPr>
              <w:t xml:space="preserve">4 dB/1W/1m </w:t>
            </w:r>
          </w:p>
        </w:tc>
      </w:tr>
      <w:tr w:rsidR="00B40567" w:rsidRPr="00DC39BE" w14:paraId="66C2F242" w14:textId="77777777" w:rsidTr="00AB3FF8">
        <w:trPr>
          <w:trHeight w:val="91"/>
        </w:trPr>
        <w:tc>
          <w:tcPr>
            <w:tcW w:w="3415" w:type="dxa"/>
          </w:tcPr>
          <w:p w14:paraId="6DD14273" w14:textId="77777777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Frequency Response</w:t>
            </w:r>
            <w:r w:rsidR="000D785B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0FEF34A2" w14:textId="5363E45D" w:rsidR="00B40567" w:rsidRPr="000D785B" w:rsidRDefault="00E02113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  <w:r w:rsidR="00B40567" w:rsidRPr="000D785B">
              <w:rPr>
                <w:rFonts w:ascii="Calibri" w:hAnsi="Calibri" w:cs="Calibri"/>
                <w:color w:val="000000"/>
              </w:rPr>
              <w:t xml:space="preserve"> Hz - 2</w:t>
            </w:r>
            <w:r w:rsidR="001141C0">
              <w:rPr>
                <w:rFonts w:ascii="Calibri" w:hAnsi="Calibri" w:cs="Calibri"/>
                <w:color w:val="000000"/>
              </w:rPr>
              <w:t>4</w:t>
            </w:r>
            <w:r w:rsidR="00B40567" w:rsidRPr="000D785B">
              <w:rPr>
                <w:rFonts w:ascii="Calibri" w:hAnsi="Calibri" w:cs="Calibri"/>
                <w:color w:val="000000"/>
              </w:rPr>
              <w:t xml:space="preserve"> kHz (-6 dB)</w:t>
            </w:r>
            <w:r w:rsidR="001141C0">
              <w:rPr>
                <w:rFonts w:ascii="Calibri" w:hAnsi="Calibri" w:cs="Calibri"/>
                <w:color w:val="000000"/>
              </w:rPr>
              <w:t>, 3</w:t>
            </w:r>
            <w:r w:rsidR="001141C0" w:rsidRPr="00082141">
              <w:rPr>
                <w:rFonts w:ascii="Calibri" w:hAnsi="Calibri" w:cs="Calibri"/>
                <w:color w:val="000000"/>
              </w:rPr>
              <w:t>rd</w:t>
            </w:r>
            <w:r w:rsidR="001141C0">
              <w:rPr>
                <w:rFonts w:ascii="Calibri" w:hAnsi="Calibri" w:cs="Calibri"/>
                <w:color w:val="000000"/>
              </w:rPr>
              <w:t xml:space="preserve"> order LF roll-off</w:t>
            </w:r>
          </w:p>
        </w:tc>
      </w:tr>
      <w:tr w:rsidR="00B40567" w:rsidRPr="00DC39BE" w14:paraId="3234892E" w14:textId="77777777" w:rsidTr="00AB3FF8">
        <w:trPr>
          <w:trHeight w:val="91"/>
        </w:trPr>
        <w:tc>
          <w:tcPr>
            <w:tcW w:w="3415" w:type="dxa"/>
          </w:tcPr>
          <w:p w14:paraId="5FD4ABC9" w14:textId="0AEB647A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Crossover Frequenc</w:t>
            </w:r>
            <w:r w:rsidR="00C0575B">
              <w:rPr>
                <w:rFonts w:ascii="Calibri" w:hAnsi="Calibri" w:cs="Calibri"/>
                <w:color w:val="000000"/>
              </w:rPr>
              <w:t>y</w:t>
            </w:r>
            <w:r w:rsidR="000D785B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7CCF27BD" w14:textId="4070E99C" w:rsidR="00B40567" w:rsidRPr="00082141" w:rsidRDefault="001141C0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82141">
              <w:rPr>
                <w:rFonts w:ascii="Calibri" w:hAnsi="Calibri" w:cs="Calibri"/>
                <w:color w:val="000000"/>
              </w:rPr>
              <w:t>775 Hz</w:t>
            </w:r>
          </w:p>
        </w:tc>
      </w:tr>
      <w:tr w:rsidR="001141C0" w:rsidRPr="00DC39BE" w14:paraId="31752E85" w14:textId="77777777" w:rsidTr="00AB3FF8">
        <w:trPr>
          <w:trHeight w:val="91"/>
        </w:trPr>
        <w:tc>
          <w:tcPr>
            <w:tcW w:w="3415" w:type="dxa"/>
          </w:tcPr>
          <w:p w14:paraId="5ADD2B5F" w14:textId="477FB321" w:rsidR="001141C0" w:rsidRPr="000D785B" w:rsidRDefault="001141C0" w:rsidP="001141C0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1141C0">
              <w:rPr>
                <w:rFonts w:ascii="Calibri" w:hAnsi="Calibri" w:cs="Calibri"/>
                <w:color w:val="000000"/>
              </w:rPr>
              <w:t>Coverage area, -6 dB @ 10 kHz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71D5C861" w14:textId="1970AF0D" w:rsidR="001141C0" w:rsidRPr="001141C0" w:rsidRDefault="001141C0" w:rsidP="001141C0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1141C0">
              <w:rPr>
                <w:rFonts w:ascii="Calibri" w:hAnsi="Calibri" w:cs="Calibri"/>
                <w:color w:val="000000"/>
              </w:rPr>
              <w:t>Approximately 120 degrees horizontal x 100 degrees vertical</w:t>
            </w:r>
          </w:p>
        </w:tc>
      </w:tr>
      <w:tr w:rsidR="001141C0" w:rsidRPr="00DC39BE" w14:paraId="6B75AAB6" w14:textId="77777777" w:rsidTr="00AB3FF8">
        <w:trPr>
          <w:trHeight w:val="91"/>
        </w:trPr>
        <w:tc>
          <w:tcPr>
            <w:tcW w:w="3415" w:type="dxa"/>
          </w:tcPr>
          <w:p w14:paraId="5170F68E" w14:textId="0907C7E4" w:rsidR="001141C0" w:rsidRPr="000D785B" w:rsidRDefault="001141C0" w:rsidP="001141C0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1141C0">
              <w:rPr>
                <w:rFonts w:ascii="Calibri" w:hAnsi="Calibri" w:cs="Calibri"/>
                <w:color w:val="000000"/>
              </w:rPr>
              <w:t>Coverage area, -6 dB @ 20 kHz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75AF91B4" w14:textId="13AFA46C" w:rsidR="001141C0" w:rsidRPr="001141C0" w:rsidRDefault="001141C0" w:rsidP="001141C0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1141C0">
              <w:rPr>
                <w:rFonts w:ascii="Calibri" w:hAnsi="Calibri" w:cs="Calibri"/>
                <w:color w:val="000000"/>
              </w:rPr>
              <w:t>Approximately 90 degrees horizontal x 70 degrees vertical</w:t>
            </w:r>
          </w:p>
        </w:tc>
      </w:tr>
      <w:tr w:rsidR="00B40567" w:rsidRPr="00DC39BE" w14:paraId="3B3F7B51" w14:textId="77777777" w:rsidTr="00AB3FF8">
        <w:trPr>
          <w:trHeight w:val="91"/>
        </w:trPr>
        <w:tc>
          <w:tcPr>
            <w:tcW w:w="3415" w:type="dxa"/>
          </w:tcPr>
          <w:p w14:paraId="247F6595" w14:textId="77777777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Enclosure Type:</w:t>
            </w:r>
          </w:p>
        </w:tc>
        <w:tc>
          <w:tcPr>
            <w:tcW w:w="6980" w:type="dxa"/>
          </w:tcPr>
          <w:p w14:paraId="4668BDA0" w14:textId="3A2B0371" w:rsidR="00B40567" w:rsidRPr="00082141" w:rsidRDefault="00C0575B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82141">
              <w:rPr>
                <w:rFonts w:ascii="Calibri" w:hAnsi="Calibri" w:cs="Calibri"/>
                <w:color w:val="000000"/>
              </w:rPr>
              <w:t>Complementary Bass Alignment System (CBAS™)</w:t>
            </w:r>
          </w:p>
        </w:tc>
      </w:tr>
      <w:tr w:rsidR="007878A4" w:rsidRPr="00DC39BE" w14:paraId="7B08570C" w14:textId="77777777" w:rsidTr="00AB3FF8">
        <w:trPr>
          <w:trHeight w:val="91"/>
        </w:trPr>
        <w:tc>
          <w:tcPr>
            <w:tcW w:w="3415" w:type="dxa"/>
          </w:tcPr>
          <w:p w14:paraId="4C513215" w14:textId="36211AD3" w:rsidR="007878A4" w:rsidRPr="000D785B" w:rsidRDefault="00082141" w:rsidP="00082141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HF Level </w:t>
            </w:r>
            <w:r w:rsidR="007878A4">
              <w:rPr>
                <w:rFonts w:ascii="Calibri" w:hAnsi="Calibri" w:cs="Calibri"/>
                <w:color w:val="000000"/>
              </w:rPr>
              <w:t>Controls:</w:t>
            </w:r>
          </w:p>
        </w:tc>
        <w:tc>
          <w:tcPr>
            <w:tcW w:w="6980" w:type="dxa"/>
          </w:tcPr>
          <w:p w14:paraId="61FB26B2" w14:textId="19912F32" w:rsidR="007878A4" w:rsidRPr="00082141" w:rsidRDefault="00082141" w:rsidP="00082141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 Position - </w:t>
            </w:r>
            <w:r w:rsidR="007878A4" w:rsidRPr="00082141">
              <w:rPr>
                <w:rFonts w:ascii="Calibri" w:hAnsi="Calibri" w:cs="Calibri"/>
                <w:color w:val="000000"/>
              </w:rPr>
              <w:t>No grille, With grille, or With screen</w:t>
            </w:r>
          </w:p>
        </w:tc>
      </w:tr>
      <w:tr w:rsidR="00082141" w:rsidRPr="00DC39BE" w14:paraId="7C74D818" w14:textId="77777777" w:rsidTr="00AB3FF8">
        <w:trPr>
          <w:trHeight w:val="91"/>
        </w:trPr>
        <w:tc>
          <w:tcPr>
            <w:tcW w:w="3415" w:type="dxa"/>
          </w:tcPr>
          <w:p w14:paraId="4365F7B9" w14:textId="32FE3B51" w:rsidR="00082141" w:rsidRDefault="00082141" w:rsidP="00082141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Grille Dimensions:</w:t>
            </w:r>
          </w:p>
        </w:tc>
        <w:tc>
          <w:tcPr>
            <w:tcW w:w="6980" w:type="dxa"/>
          </w:tcPr>
          <w:p w14:paraId="39DD5E3B" w14:textId="1DD66433" w:rsidR="00082141" w:rsidRPr="00082141" w:rsidRDefault="00082141" w:rsidP="00082141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82141">
              <w:rPr>
                <w:rFonts w:ascii="Calibri" w:hAnsi="Calibri" w:cs="Calibri"/>
                <w:color w:val="000000"/>
              </w:rPr>
              <w:t>47.98" H x 19" W x 0.787" D (1218.7mm x 482.6mm x 20mm)</w:t>
            </w:r>
          </w:p>
        </w:tc>
      </w:tr>
      <w:tr w:rsidR="00B40567" w:rsidRPr="00DC39BE" w14:paraId="6311BFF6" w14:textId="77777777" w:rsidTr="00AB3FF8">
        <w:trPr>
          <w:trHeight w:val="91"/>
        </w:trPr>
        <w:tc>
          <w:tcPr>
            <w:tcW w:w="3415" w:type="dxa"/>
          </w:tcPr>
          <w:p w14:paraId="0D6AA440" w14:textId="0A21461D" w:rsidR="00B40567" w:rsidRPr="000D785B" w:rsidRDefault="00082141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Product </w:t>
            </w:r>
            <w:r w:rsidR="00B40567" w:rsidRPr="000D785B">
              <w:rPr>
                <w:rFonts w:ascii="Calibri" w:hAnsi="Calibri" w:cs="Calibri"/>
                <w:color w:val="000000"/>
              </w:rPr>
              <w:t>Dimensions</w:t>
            </w:r>
            <w:r w:rsidR="000D785B">
              <w:rPr>
                <w:rFonts w:ascii="Calibri" w:hAnsi="Calibri" w:cs="Calibri"/>
                <w:color w:val="000000"/>
              </w:rPr>
              <w:t>:</w:t>
            </w:r>
            <w:r w:rsidR="00B40567" w:rsidRPr="000D785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6980" w:type="dxa"/>
          </w:tcPr>
          <w:p w14:paraId="4F2BEC36" w14:textId="658D2EA8" w:rsidR="00B40567" w:rsidRPr="000D785B" w:rsidRDefault="00082141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82141">
              <w:rPr>
                <w:rFonts w:ascii="Calibri" w:hAnsi="Calibri" w:cs="Calibri"/>
                <w:color w:val="000000"/>
              </w:rPr>
              <w:t>47.98" H x 19" W x 14.49" D (1218.7mm x 482.6mm x 368.1mm)</w:t>
            </w:r>
          </w:p>
        </w:tc>
      </w:tr>
      <w:tr w:rsidR="00E730C3" w:rsidRPr="00DC39BE" w14:paraId="73DE00A8" w14:textId="77777777" w:rsidTr="00AB3FF8">
        <w:trPr>
          <w:trHeight w:val="91"/>
        </w:trPr>
        <w:tc>
          <w:tcPr>
            <w:tcW w:w="3415" w:type="dxa"/>
          </w:tcPr>
          <w:p w14:paraId="64662E9D" w14:textId="6B489271" w:rsidR="00E730C3" w:rsidRPr="000D785B" w:rsidRDefault="00E730C3" w:rsidP="00E730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326B0">
              <w:rPr>
                <w:rFonts w:ascii="Calibri" w:hAnsi="Calibri" w:cs="Calibri"/>
                <w:color w:val="000000"/>
              </w:rPr>
              <w:t>Input Type</w:t>
            </w:r>
          </w:p>
        </w:tc>
        <w:tc>
          <w:tcPr>
            <w:tcW w:w="6980" w:type="dxa"/>
          </w:tcPr>
          <w:p w14:paraId="3F171719" w14:textId="70830368" w:rsidR="00E730C3" w:rsidRPr="000D785B" w:rsidRDefault="00E730C3" w:rsidP="00E730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326B0">
              <w:rPr>
                <w:rFonts w:ascii="Calibri" w:hAnsi="Calibri" w:cs="Calibri"/>
                <w:color w:val="000000"/>
              </w:rPr>
              <w:t xml:space="preserve">Dual </w:t>
            </w:r>
            <w:r w:rsidR="00DF515B">
              <w:rPr>
                <w:rFonts w:ascii="Calibri" w:hAnsi="Calibri" w:cs="Calibri"/>
                <w:color w:val="000000"/>
              </w:rPr>
              <w:t xml:space="preserve">sets of </w:t>
            </w:r>
            <w:r w:rsidRPr="003326B0">
              <w:rPr>
                <w:rFonts w:ascii="Calibri" w:hAnsi="Calibri" w:cs="Calibri"/>
                <w:color w:val="000000"/>
              </w:rPr>
              <w:t xml:space="preserve">gold-plated </w:t>
            </w:r>
            <w:r w:rsidR="0089023C">
              <w:rPr>
                <w:rFonts w:ascii="Calibri" w:hAnsi="Calibri" w:cs="Calibri"/>
                <w:color w:val="000000"/>
              </w:rPr>
              <w:t>s</w:t>
            </w:r>
            <w:r w:rsidR="0089023C" w:rsidRPr="003326B0">
              <w:rPr>
                <w:rFonts w:ascii="Calibri" w:hAnsi="Calibri" w:cs="Calibri"/>
                <w:color w:val="000000"/>
              </w:rPr>
              <w:t>pring</w:t>
            </w:r>
            <w:r w:rsidR="0089023C">
              <w:rPr>
                <w:rFonts w:ascii="Calibri" w:hAnsi="Calibri" w:cs="Calibri"/>
                <w:color w:val="000000"/>
              </w:rPr>
              <w:t>-</w:t>
            </w:r>
            <w:r w:rsidR="0089023C" w:rsidRPr="003326B0">
              <w:rPr>
                <w:rFonts w:ascii="Calibri" w:hAnsi="Calibri" w:cs="Calibri"/>
                <w:color w:val="000000"/>
              </w:rPr>
              <w:t xml:space="preserve">loaded </w:t>
            </w:r>
            <w:r w:rsidRPr="003326B0">
              <w:rPr>
                <w:rFonts w:ascii="Calibri" w:hAnsi="Calibri" w:cs="Calibri"/>
                <w:color w:val="000000"/>
              </w:rPr>
              <w:t>binding posts</w:t>
            </w:r>
          </w:p>
        </w:tc>
      </w:tr>
      <w:tr w:rsidR="00C32698" w:rsidRPr="00DF515B" w14:paraId="3A166E51" w14:textId="77777777" w:rsidTr="00AB3FF8">
        <w:trPr>
          <w:trHeight w:val="91"/>
        </w:trPr>
        <w:tc>
          <w:tcPr>
            <w:tcW w:w="3415" w:type="dxa"/>
          </w:tcPr>
          <w:p w14:paraId="63D46CE3" w14:textId="4B9B7310" w:rsidR="00C32698" w:rsidRPr="00DF515B" w:rsidRDefault="00C32698" w:rsidP="00C3269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DF515B">
              <w:rPr>
                <w:rFonts w:ascii="Calibri" w:hAnsi="Calibri" w:cs="Calibri"/>
                <w:color w:val="000000"/>
              </w:rPr>
              <w:t>Product Weight:</w:t>
            </w:r>
          </w:p>
        </w:tc>
        <w:tc>
          <w:tcPr>
            <w:tcW w:w="6980" w:type="dxa"/>
          </w:tcPr>
          <w:p w14:paraId="67621D99" w14:textId="3DE05D31" w:rsidR="00C32698" w:rsidRPr="00C32698" w:rsidRDefault="00C32698" w:rsidP="00C32698">
            <w:pPr>
              <w:spacing w:line="276" w:lineRule="auto"/>
              <w:rPr>
                <w:rFonts w:ascii="Calibri" w:hAnsi="Calibri" w:cs="Calibri"/>
              </w:rPr>
            </w:pPr>
            <w:r w:rsidRPr="00C32698">
              <w:rPr>
                <w:rFonts w:ascii="Calibri" w:hAnsi="Calibri" w:cs="Calibri"/>
              </w:rPr>
              <w:t>177.5 lb. (80.5kg)</w:t>
            </w:r>
          </w:p>
        </w:tc>
      </w:tr>
      <w:tr w:rsidR="00C32698" w:rsidRPr="00DC39BE" w14:paraId="520707BF" w14:textId="77777777" w:rsidTr="00AB3FF8">
        <w:trPr>
          <w:trHeight w:val="91"/>
        </w:trPr>
        <w:tc>
          <w:tcPr>
            <w:tcW w:w="3415" w:type="dxa"/>
          </w:tcPr>
          <w:p w14:paraId="5C46C593" w14:textId="719C24BF" w:rsidR="00C32698" w:rsidRPr="00DF515B" w:rsidRDefault="00C32698" w:rsidP="00C3269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DF515B">
              <w:rPr>
                <w:rFonts w:ascii="Calibri" w:hAnsi="Calibri" w:cs="Calibri"/>
                <w:color w:val="000000"/>
              </w:rPr>
              <w:t>Shipping Weight:</w:t>
            </w:r>
          </w:p>
        </w:tc>
        <w:tc>
          <w:tcPr>
            <w:tcW w:w="6980" w:type="dxa"/>
          </w:tcPr>
          <w:p w14:paraId="22167158" w14:textId="0CBBA0F4" w:rsidR="00C32698" w:rsidRPr="00C32698" w:rsidRDefault="00C32698" w:rsidP="00C32698">
            <w:pPr>
              <w:spacing w:line="276" w:lineRule="auto"/>
              <w:rPr>
                <w:rFonts w:ascii="Calibri" w:hAnsi="Calibri" w:cs="Calibri"/>
              </w:rPr>
            </w:pPr>
            <w:r w:rsidRPr="00C32698">
              <w:rPr>
                <w:rFonts w:ascii="Calibri" w:hAnsi="Calibri" w:cs="Calibri"/>
              </w:rPr>
              <w:t>306.5 lb. (139 kg)</w:t>
            </w:r>
          </w:p>
        </w:tc>
      </w:tr>
      <w:tr w:rsidR="00E730C3" w:rsidRPr="00DC39BE" w14:paraId="0805BC0C" w14:textId="77777777" w:rsidTr="00AB3FF8">
        <w:trPr>
          <w:trHeight w:val="91"/>
        </w:trPr>
        <w:tc>
          <w:tcPr>
            <w:tcW w:w="3415" w:type="dxa"/>
          </w:tcPr>
          <w:p w14:paraId="0750F96B" w14:textId="0E3AB517" w:rsidR="00E730C3" w:rsidRPr="000D785B" w:rsidRDefault="00E730C3" w:rsidP="00E730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326B0">
              <w:rPr>
                <w:rFonts w:ascii="Calibri" w:hAnsi="Calibri" w:cs="Calibri"/>
                <w:color w:val="000000"/>
              </w:rPr>
              <w:t>Shipping Units of Measure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487D3FCF" w14:textId="7D41F703" w:rsidR="00E730C3" w:rsidRPr="000D785B" w:rsidRDefault="00E730C3" w:rsidP="00E730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326B0">
              <w:rPr>
                <w:rFonts w:ascii="Calibri" w:hAnsi="Calibri" w:cs="Calibri"/>
                <w:color w:val="000000"/>
              </w:rPr>
              <w:t>Each</w:t>
            </w:r>
          </w:p>
        </w:tc>
      </w:tr>
      <w:tr w:rsidR="00E730C3" w:rsidRPr="00DC39BE" w14:paraId="14293083" w14:textId="77777777" w:rsidTr="00AB3FF8">
        <w:trPr>
          <w:trHeight w:val="91"/>
        </w:trPr>
        <w:tc>
          <w:tcPr>
            <w:tcW w:w="3415" w:type="dxa"/>
          </w:tcPr>
          <w:p w14:paraId="74EAE333" w14:textId="66AE2F1D" w:rsidR="00E730C3" w:rsidRPr="000D785B" w:rsidRDefault="00E730C3" w:rsidP="00E730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326B0">
              <w:rPr>
                <w:rFonts w:ascii="Calibri" w:hAnsi="Calibri" w:cs="Calibri"/>
                <w:color w:val="000000"/>
              </w:rPr>
              <w:t>Warranty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721B1608" w14:textId="435263A5" w:rsidR="00E730C3" w:rsidRPr="000D785B" w:rsidRDefault="00E730C3" w:rsidP="00E730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326B0">
              <w:rPr>
                <w:rFonts w:ascii="Calibri" w:hAnsi="Calibri" w:cs="Calibri"/>
                <w:color w:val="000000"/>
              </w:rPr>
              <w:t>5 Years</w:t>
            </w:r>
          </w:p>
        </w:tc>
      </w:tr>
    </w:tbl>
    <w:p w14:paraId="593279A0" w14:textId="77777777" w:rsidR="0036667C" w:rsidRDefault="0036667C" w:rsidP="0036667C"/>
    <w:p w14:paraId="0070D3FC" w14:textId="77777777" w:rsidR="007146AE" w:rsidRPr="00B55FB7" w:rsidRDefault="00AE1007">
      <w:pPr>
        <w:rPr>
          <w:b/>
        </w:rPr>
      </w:pPr>
      <w:r w:rsidRPr="00B55FB7">
        <w:rPr>
          <w:b/>
        </w:rPr>
        <w:t xml:space="preserve">Web Product Page </w:t>
      </w:r>
      <w:r w:rsidR="007146AE" w:rsidRPr="00B55FB7">
        <w:rPr>
          <w:b/>
        </w:rPr>
        <w:t>Attachments:</w:t>
      </w:r>
    </w:p>
    <w:p w14:paraId="03810A65" w14:textId="77777777" w:rsidR="007146AE" w:rsidRPr="00B55FB7" w:rsidRDefault="007146AE" w:rsidP="000B0EBF">
      <w:pPr>
        <w:pStyle w:val="ListParagraph"/>
        <w:numPr>
          <w:ilvl w:val="0"/>
          <w:numId w:val="1"/>
        </w:numPr>
        <w:spacing w:after="0" w:line="240" w:lineRule="auto"/>
      </w:pPr>
      <w:r w:rsidRPr="00B55FB7">
        <w:t>Owner’s Manual</w:t>
      </w:r>
    </w:p>
    <w:p w14:paraId="08787FBD" w14:textId="77777777" w:rsidR="00B40567" w:rsidRPr="00B55FB7" w:rsidRDefault="00B40567" w:rsidP="000B0EBF">
      <w:pPr>
        <w:pStyle w:val="ListParagraph"/>
        <w:numPr>
          <w:ilvl w:val="0"/>
          <w:numId w:val="1"/>
        </w:numPr>
        <w:spacing w:after="0" w:line="240" w:lineRule="auto"/>
      </w:pPr>
      <w:r w:rsidRPr="00B55FB7">
        <w:t>Spec Sheet</w:t>
      </w:r>
      <w:bookmarkStart w:id="0" w:name="_GoBack"/>
      <w:bookmarkEnd w:id="0"/>
    </w:p>
    <w:p w14:paraId="1C4E67E6" w14:textId="7FCE7491" w:rsidR="00AE1007" w:rsidRPr="00534B17" w:rsidRDefault="00B40567" w:rsidP="000B0EBF">
      <w:pPr>
        <w:pStyle w:val="ListParagraph"/>
        <w:numPr>
          <w:ilvl w:val="0"/>
          <w:numId w:val="1"/>
        </w:numPr>
        <w:spacing w:after="0" w:line="240" w:lineRule="auto"/>
      </w:pPr>
      <w:r>
        <w:t>Quick Specs</w:t>
      </w:r>
    </w:p>
    <w:sectPr w:rsidR="00AE1007" w:rsidRPr="00534B17" w:rsidSect="00AE3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Pro 75 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551E"/>
    <w:multiLevelType w:val="hybridMultilevel"/>
    <w:tmpl w:val="302C6810"/>
    <w:lvl w:ilvl="0" w:tplc="CB0C3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05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A3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8EA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20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AD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823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A0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25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9134A1"/>
    <w:multiLevelType w:val="hybridMultilevel"/>
    <w:tmpl w:val="6FC0B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B73B3"/>
    <w:multiLevelType w:val="hybridMultilevel"/>
    <w:tmpl w:val="C980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9731F"/>
    <w:multiLevelType w:val="hybridMultilevel"/>
    <w:tmpl w:val="9348B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9D290B"/>
    <w:multiLevelType w:val="hybridMultilevel"/>
    <w:tmpl w:val="8EE8F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F273D8"/>
    <w:multiLevelType w:val="hybridMultilevel"/>
    <w:tmpl w:val="02889072"/>
    <w:lvl w:ilvl="0" w:tplc="E4680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46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2C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83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C66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DEC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1C6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525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46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2235B0"/>
    <w:multiLevelType w:val="hybridMultilevel"/>
    <w:tmpl w:val="787E0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1B5572"/>
    <w:multiLevelType w:val="hybridMultilevel"/>
    <w:tmpl w:val="70D4F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C00DFD"/>
    <w:multiLevelType w:val="hybridMultilevel"/>
    <w:tmpl w:val="8F80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751C7"/>
    <w:multiLevelType w:val="hybridMultilevel"/>
    <w:tmpl w:val="21540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F41FB9"/>
    <w:multiLevelType w:val="hybridMultilevel"/>
    <w:tmpl w:val="7CE0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36B27"/>
    <w:multiLevelType w:val="hybridMultilevel"/>
    <w:tmpl w:val="FC167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4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E"/>
    <w:rsid w:val="00004F9D"/>
    <w:rsid w:val="00023218"/>
    <w:rsid w:val="000627A7"/>
    <w:rsid w:val="0006406B"/>
    <w:rsid w:val="0006718B"/>
    <w:rsid w:val="00076A7E"/>
    <w:rsid w:val="00082141"/>
    <w:rsid w:val="000A3458"/>
    <w:rsid w:val="000B0EBF"/>
    <w:rsid w:val="000C5062"/>
    <w:rsid w:val="000D1253"/>
    <w:rsid w:val="000D785B"/>
    <w:rsid w:val="001141C0"/>
    <w:rsid w:val="00135200"/>
    <w:rsid w:val="001873C8"/>
    <w:rsid w:val="001900EB"/>
    <w:rsid w:val="0019080E"/>
    <w:rsid w:val="001A0EAD"/>
    <w:rsid w:val="001A42C2"/>
    <w:rsid w:val="002117E1"/>
    <w:rsid w:val="00227081"/>
    <w:rsid w:val="00234161"/>
    <w:rsid w:val="00234F08"/>
    <w:rsid w:val="002B6A16"/>
    <w:rsid w:val="002B6CDC"/>
    <w:rsid w:val="002C1884"/>
    <w:rsid w:val="002E6909"/>
    <w:rsid w:val="003224DE"/>
    <w:rsid w:val="003313B7"/>
    <w:rsid w:val="0036667C"/>
    <w:rsid w:val="00390E9B"/>
    <w:rsid w:val="003C4483"/>
    <w:rsid w:val="00412F47"/>
    <w:rsid w:val="00483A22"/>
    <w:rsid w:val="004C0353"/>
    <w:rsid w:val="004C15C3"/>
    <w:rsid w:val="004F2988"/>
    <w:rsid w:val="004F6E4D"/>
    <w:rsid w:val="005162F7"/>
    <w:rsid w:val="00534B17"/>
    <w:rsid w:val="00577AB9"/>
    <w:rsid w:val="005911BB"/>
    <w:rsid w:val="0059408A"/>
    <w:rsid w:val="005B31C5"/>
    <w:rsid w:val="005C7474"/>
    <w:rsid w:val="005E4FC3"/>
    <w:rsid w:val="005E61FF"/>
    <w:rsid w:val="005E7D91"/>
    <w:rsid w:val="006C7768"/>
    <w:rsid w:val="006E39B7"/>
    <w:rsid w:val="00705E2C"/>
    <w:rsid w:val="007146AE"/>
    <w:rsid w:val="00721642"/>
    <w:rsid w:val="00734161"/>
    <w:rsid w:val="00737246"/>
    <w:rsid w:val="007642D0"/>
    <w:rsid w:val="007703BF"/>
    <w:rsid w:val="00773303"/>
    <w:rsid w:val="007878A4"/>
    <w:rsid w:val="007A1208"/>
    <w:rsid w:val="007B0EC9"/>
    <w:rsid w:val="007D69E1"/>
    <w:rsid w:val="007E2DC6"/>
    <w:rsid w:val="007F0180"/>
    <w:rsid w:val="0081713D"/>
    <w:rsid w:val="008337F3"/>
    <w:rsid w:val="00857092"/>
    <w:rsid w:val="0089023C"/>
    <w:rsid w:val="00896D08"/>
    <w:rsid w:val="00897B14"/>
    <w:rsid w:val="008A5770"/>
    <w:rsid w:val="008B4847"/>
    <w:rsid w:val="00903D54"/>
    <w:rsid w:val="00906CEC"/>
    <w:rsid w:val="009530FB"/>
    <w:rsid w:val="00961BBC"/>
    <w:rsid w:val="009753EF"/>
    <w:rsid w:val="009933EA"/>
    <w:rsid w:val="00A348CC"/>
    <w:rsid w:val="00A36328"/>
    <w:rsid w:val="00AB3FF8"/>
    <w:rsid w:val="00AE1007"/>
    <w:rsid w:val="00AE30AC"/>
    <w:rsid w:val="00B07050"/>
    <w:rsid w:val="00B1052C"/>
    <w:rsid w:val="00B40567"/>
    <w:rsid w:val="00B55FB7"/>
    <w:rsid w:val="00BA3094"/>
    <w:rsid w:val="00BB1B75"/>
    <w:rsid w:val="00BD2BB7"/>
    <w:rsid w:val="00BF456A"/>
    <w:rsid w:val="00BF69E2"/>
    <w:rsid w:val="00C0575B"/>
    <w:rsid w:val="00C32698"/>
    <w:rsid w:val="00C46AB0"/>
    <w:rsid w:val="00C9144E"/>
    <w:rsid w:val="00CB2609"/>
    <w:rsid w:val="00CB6CE6"/>
    <w:rsid w:val="00D32C3D"/>
    <w:rsid w:val="00D51015"/>
    <w:rsid w:val="00DC39BE"/>
    <w:rsid w:val="00DE1C5E"/>
    <w:rsid w:val="00DF0BB9"/>
    <w:rsid w:val="00DF515B"/>
    <w:rsid w:val="00E005A0"/>
    <w:rsid w:val="00E02113"/>
    <w:rsid w:val="00E209E7"/>
    <w:rsid w:val="00E24A2E"/>
    <w:rsid w:val="00E27C4B"/>
    <w:rsid w:val="00E37F5E"/>
    <w:rsid w:val="00E44D70"/>
    <w:rsid w:val="00E6004F"/>
    <w:rsid w:val="00E67F3D"/>
    <w:rsid w:val="00E730C3"/>
    <w:rsid w:val="00E74BF2"/>
    <w:rsid w:val="00E8451A"/>
    <w:rsid w:val="00E878B3"/>
    <w:rsid w:val="00EC1F63"/>
    <w:rsid w:val="00F306D3"/>
    <w:rsid w:val="00F454B9"/>
    <w:rsid w:val="00F573FF"/>
    <w:rsid w:val="00F850CD"/>
    <w:rsid w:val="00FB1C64"/>
    <w:rsid w:val="00FD4ECC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4FD3"/>
  <w15:docId w15:val="{C3D7F7EA-E08D-4C49-B78E-030AD785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6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08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42D0"/>
    <w:pPr>
      <w:spacing w:after="0" w:line="240" w:lineRule="auto"/>
    </w:pPr>
  </w:style>
  <w:style w:type="paragraph" w:customStyle="1" w:styleId="Default">
    <w:name w:val="Default"/>
    <w:rsid w:val="00B55FB7"/>
    <w:pPr>
      <w:autoSpaceDE w:val="0"/>
      <w:autoSpaceDN w:val="0"/>
      <w:adjustRightInd w:val="0"/>
      <w:spacing w:after="0" w:line="240" w:lineRule="auto"/>
    </w:pPr>
    <w:rPr>
      <w:rFonts w:ascii="HelveticaNeueLT Pro 75 Bd" w:hAnsi="HelveticaNeueLT Pro 75 Bd" w:cs="HelveticaNeueLT Pro 75 B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55FB7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B55FB7"/>
    <w:pPr>
      <w:spacing w:line="17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50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0D78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9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8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24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5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303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022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chnical Sheet" ma:contentTypeID="0x01010097C5D358F6E3DC49959E4F19B12D08F00600618851FC60942C44A75C119BF4AF82A3" ma:contentTypeVersion="19" ma:contentTypeDescription="" ma:contentTypeScope="" ma:versionID="a0b0215fb6f21ab7ee6f1261a1cdca0d">
  <xsd:schema xmlns:xsd="http://www.w3.org/2001/XMLSchema" xmlns:xs="http://www.w3.org/2001/XMLSchema" xmlns:p="http://schemas.microsoft.com/office/2006/metadata/properties" xmlns:ns2="fe65a09f-302b-4296-8abd-24f8729940a9" xmlns:ns3="af740654-4070-4fb7-9c0e-4a5fb8c75929" targetNamespace="http://schemas.microsoft.com/office/2006/metadata/properties" ma:root="true" ma:fieldsID="c9f3f97b12ae0b77aee89d8112f362f0" ns2:_="" ns3:_="">
    <xsd:import namespace="fe65a09f-302b-4296-8abd-24f8729940a9"/>
    <xsd:import namespace="af740654-4070-4fb7-9c0e-4a5fb8c75929"/>
    <xsd:element name="properties">
      <xsd:complexType>
        <xsd:sequence>
          <xsd:element name="documentManagement">
            <xsd:complexType>
              <xsd:all>
                <xsd:element ref="ns2:Product_x0020_Codes"/>
                <xsd:element ref="ns2:Publication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5a09f-302b-4296-8abd-24f8729940a9" elementFormDefault="qualified">
    <xsd:import namespace="http://schemas.microsoft.com/office/2006/documentManagement/types"/>
    <xsd:import namespace="http://schemas.microsoft.com/office/infopath/2007/PartnerControls"/>
    <xsd:element name="Product_x0020_Codes" ma:index="8" ma:displayName="Product Codes" ma:internalName="Product_x0020_Codes">
      <xsd:simpleType>
        <xsd:restriction base="dms:Note">
          <xsd:maxLength value="255"/>
        </xsd:restriction>
      </xsd:simpleType>
    </xsd:element>
    <xsd:element name="Publication" ma:index="9" ma:displayName="Publication" ma:format="Dropdown" ma:internalName="Publication">
      <xsd:simpleType>
        <xsd:restriction base="dms:Choice">
          <xsd:enumeration value="Internal"/>
          <xsd:enumeration value="Public"/>
          <xsd:enumeration value="Reserved Area"/>
        </xsd:restriction>
      </xsd:simpleType>
    </xsd:element>
    <xsd:element name="TaxCatchAll" ma:index="20" nillable="true" ma:displayName="Taxonomy Catch All Column" ma:hidden="true" ma:list="{f5bc4b4b-ce6f-4f9b-bd58-66860250e054}" ma:internalName="TaxCatchAll" ma:showField="CatchAllData" ma:web="fe65a09f-302b-4296-8abd-24f872994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40654-4070-4fb7-9c0e-4a5fb8c75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b31c23-8274-4f2b-924d-dde675e3d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 xmlns="fe65a09f-302b-4296-8abd-24f8729940a9">Public</Publication>
    <Product_x0020_Codes xmlns="fe65a09f-302b-4296-8abd-24f8729940a9">THOM002033</Product_x0020_Codes>
    <lcf76f155ced4ddcb4097134ff3c332f xmlns="af740654-4070-4fb7-9c0e-4a5fb8c75929">
      <Terms xmlns="http://schemas.microsoft.com/office/infopath/2007/PartnerControls"/>
    </lcf76f155ced4ddcb4097134ff3c332f>
    <TaxCatchAll xmlns="fe65a09f-302b-4296-8abd-24f8729940a9" xsi:nil="true"/>
  </documentManagement>
</p:properties>
</file>

<file path=customXml/itemProps1.xml><?xml version="1.0" encoding="utf-8"?>
<ds:datastoreItem xmlns:ds="http://schemas.openxmlformats.org/officeDocument/2006/customXml" ds:itemID="{0308ECAD-8885-4638-B667-30DAB120277A}"/>
</file>

<file path=customXml/itemProps2.xml><?xml version="1.0" encoding="utf-8"?>
<ds:datastoreItem xmlns:ds="http://schemas.openxmlformats.org/officeDocument/2006/customXml" ds:itemID="{B14C4362-07C8-43F4-AB10-0D119AAB0D61}"/>
</file>

<file path=customXml/itemProps3.xml><?xml version="1.0" encoding="utf-8"?>
<ds:datastoreItem xmlns:ds="http://schemas.openxmlformats.org/officeDocument/2006/customXml" ds:itemID="{B67BBAE9-DDA2-4F2B-B8FE-E65DBBC78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Harman International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JBL Synthesis SCL-1 MCD (12-2-2020)</dc:title>
  <dc:creator>Kroche</dc:creator>
  <cp:lastModifiedBy>Vandenbergh, Daniel</cp:lastModifiedBy>
  <cp:revision>6</cp:revision>
  <cp:lastPrinted>2019-08-26T21:38:00Z</cp:lastPrinted>
  <dcterms:created xsi:type="dcterms:W3CDTF">2020-12-02T16:13:00Z</dcterms:created>
  <dcterms:modified xsi:type="dcterms:W3CDTF">2020-12-03T02:46:00Z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0x01010097C5D358F6E3DC49959E4F19B12D08F00600618851FC60942C44A75C119BF4AF82A3</vt:lpwstr>
  </property>
</Properties>
</file>